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600" w:lineRule="exact"/>
        <w:ind w:right="0" w:rightChars="0" w:firstLine="1446" w:firstLineChars="400"/>
        <w:jc w:val="both"/>
        <w:textAlignment w:val="auto"/>
        <w:rPr>
          <w:rFonts w:ascii="仿宋" w:hAnsi="仿宋" w:eastAsia="仿宋" w:cs="仿宋"/>
          <w:b/>
          <w:bCs/>
          <w:sz w:val="36"/>
          <w:szCs w:val="36"/>
        </w:rPr>
      </w:pPr>
      <w:r>
        <w:rPr>
          <w:rFonts w:hint="eastAsia" w:ascii="仿宋" w:hAnsi="仿宋" w:eastAsia="仿宋" w:cs="仿宋"/>
          <w:b/>
          <w:bCs/>
          <w:sz w:val="36"/>
          <w:szCs w:val="36"/>
        </w:rPr>
        <w:t>子基金管理机构及管理团队简介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hint="eastAsia" w:ascii="仿宋" w:hAnsi="仿宋" w:eastAsia="仿宋" w:cs="仿宋"/>
          <w:sz w:val="32"/>
          <w:szCs w:val="32"/>
        </w:rPr>
      </w:pP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（一）管理机构的基本情况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1.</w:t>
      </w:r>
      <w:r>
        <w:rPr>
          <w:rFonts w:hint="eastAsia" w:ascii="仿宋" w:hAnsi="仿宋" w:eastAsia="仿宋" w:cs="仿宋"/>
          <w:sz w:val="32"/>
          <w:szCs w:val="32"/>
        </w:rPr>
        <w:t>基本概况：机构名称、组织形式、法定代表人、注册资本、等基本信息</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2.</w:t>
      </w:r>
      <w:r>
        <w:rPr>
          <w:rFonts w:hint="eastAsia" w:ascii="仿宋" w:hAnsi="仿宋" w:eastAsia="仿宋" w:cs="仿宋"/>
          <w:sz w:val="32"/>
          <w:szCs w:val="32"/>
        </w:rPr>
        <w:t>股东（合伙人）的基本情况及变动历史</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（1）现有合伙人情况介绍</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（2）管理机构内部的收益分配机制及制度</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（3）历次出资变动</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3.</w:t>
      </w:r>
      <w:r>
        <w:rPr>
          <w:rFonts w:hint="eastAsia" w:ascii="仿宋" w:hAnsi="仿宋" w:eastAsia="仿宋" w:cs="仿宋"/>
          <w:sz w:val="32"/>
          <w:szCs w:val="32"/>
        </w:rPr>
        <w:t>组织架构及人员配置情况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（二） 业务经营历史情况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1.</w:t>
      </w:r>
      <w:r>
        <w:rPr>
          <w:rFonts w:hint="eastAsia" w:ascii="仿宋" w:hAnsi="仿宋" w:eastAsia="仿宋" w:cs="仿宋"/>
          <w:sz w:val="32"/>
          <w:szCs w:val="32"/>
        </w:rPr>
        <w:t>过往管理基金的投资偏好：投资类型、地域范围、行业、规模、阶段等</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2.</w:t>
      </w:r>
      <w:r>
        <w:rPr>
          <w:rFonts w:hint="eastAsia" w:ascii="仿宋" w:hAnsi="仿宋" w:eastAsia="仿宋" w:cs="仿宋"/>
          <w:sz w:val="32"/>
          <w:szCs w:val="32"/>
        </w:rPr>
        <w:t>过往管理基金运营情况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（1）管理团队成员成功募集股权投资基金情况（个数、金额、出资人名录及结构等）</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（2）曾管理基金的内部收益率</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（3）按时（包括延长期）完成基金退出的情况（包括到期项目退出比例、到期投资回收比例等）</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（4）IPO退出的情况及所占项目比例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（5）被投资项目成功进行了后一次融资（且增值）的比例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3.</w:t>
      </w:r>
      <w:r>
        <w:rPr>
          <w:rFonts w:hint="eastAsia" w:ascii="仿宋" w:hAnsi="仿宋" w:eastAsia="仿宋" w:cs="仿宋"/>
          <w:sz w:val="32"/>
          <w:szCs w:val="32"/>
        </w:rPr>
        <w:t>已投资项目</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主要已投资项目介绍（其中至少包括三个处于拟组建基金主投领域），包括投资时项目企业概况、投资分析概要、投资金额和比例、资金到位证明、股权持有时间长度、投资阶段（轮次）、投资收益率、项目近期概况包括财务情况、联系人及联系方式等</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（2）以往投资企业列表</w:t>
      </w:r>
      <w:bookmarkStart w:id="0" w:name="_GoBack"/>
      <w:bookmarkEnd w:id="0"/>
      <w:r>
        <w:rPr>
          <w:rFonts w:hint="eastAsia" w:ascii="仿宋" w:hAnsi="仿宋" w:eastAsia="仿宋" w:cs="仿宋"/>
          <w:sz w:val="32"/>
          <w:szCs w:val="32"/>
        </w:rPr>
        <w:t>。包括项目企业名称、行业、投资时间、投资轮次、投资金额和占股比例、投资后项目业绩等。</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（3）投资合作伙伴</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（三）拟组建子基金的投资管理团队情况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1.</w:t>
      </w:r>
      <w:r>
        <w:rPr>
          <w:rFonts w:hint="eastAsia" w:ascii="仿宋" w:hAnsi="仿宋" w:eastAsia="仿宋" w:cs="仿宋"/>
          <w:sz w:val="32"/>
          <w:szCs w:val="32"/>
        </w:rPr>
        <w:t>投资管理团队组织架构</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2.</w:t>
      </w:r>
      <w:r>
        <w:rPr>
          <w:rFonts w:hint="eastAsia" w:ascii="仿宋" w:hAnsi="仿宋" w:eastAsia="仿宋" w:cs="仿宋"/>
          <w:sz w:val="32"/>
          <w:szCs w:val="32"/>
        </w:rPr>
        <w:t>主要投资管理团队</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（1）主要团队成员介绍（包含时间的工作履历、教育背景、当前管理基金情况）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（2）管理团队及成员作为牵头投资人的投资项目列表及团队成员个人发挥的作用</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（3）团队成员相互合作经历</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（4）团队成员兼职情况（全职比例、主要成员正在管理其他基金的情况）</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（四）团队能力评估</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1.</w:t>
      </w:r>
      <w:r>
        <w:rPr>
          <w:rFonts w:hint="eastAsia" w:ascii="仿宋" w:hAnsi="仿宋" w:eastAsia="仿宋" w:cs="仿宋"/>
          <w:sz w:val="32"/>
          <w:szCs w:val="32"/>
        </w:rPr>
        <w:t>投资能力</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（1）项目来源渠道</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（2）投资决策流程及风险控制</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（3）获取项目的策略和优势</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（4）作为牵头投资人的经验</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2.</w:t>
      </w:r>
      <w:r>
        <w:rPr>
          <w:rFonts w:hint="eastAsia" w:ascii="仿宋" w:hAnsi="仿宋" w:eastAsia="仿宋" w:cs="仿宋"/>
          <w:sz w:val="32"/>
          <w:szCs w:val="32"/>
        </w:rPr>
        <w:t>项目管理能力</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（1）细分行业投资经验</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（2）提供增值服务的能力和成绩</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3.</w:t>
      </w:r>
      <w:r>
        <w:rPr>
          <w:rFonts w:hint="eastAsia" w:ascii="仿宋" w:hAnsi="仿宋" w:eastAsia="仿宋" w:cs="仿宋"/>
          <w:sz w:val="32"/>
          <w:szCs w:val="32"/>
        </w:rPr>
        <w:t>退出能力</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（1）项目评级分类标准</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（2）投资损失类项目的处理流程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（3）项目退出方式的历史数据</w:t>
      </w:r>
    </w:p>
    <w:tbl>
      <w:tblPr>
        <w:tblStyle w:val="3"/>
        <w:tblW w:w="10065"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1134"/>
        <w:gridCol w:w="2410"/>
        <w:gridCol w:w="1417"/>
        <w:gridCol w:w="1418"/>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0" w:hRule="atLeast"/>
        </w:trPr>
        <w:tc>
          <w:tcPr>
            <w:tcW w:w="226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退出方式</w:t>
            </w:r>
          </w:p>
        </w:tc>
        <w:tc>
          <w:tcPr>
            <w:tcW w:w="113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 xml:space="preserve"> IPO</w:t>
            </w:r>
          </w:p>
        </w:tc>
        <w:tc>
          <w:tcPr>
            <w:tcW w:w="241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 xml:space="preserve">    并购转让</w:t>
            </w: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 xml:space="preserve">  回购</w:t>
            </w:r>
          </w:p>
        </w:tc>
        <w:tc>
          <w:tcPr>
            <w:tcW w:w="141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 xml:space="preserve">  清算</w:t>
            </w: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 xml:space="preserve">  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项目数</w:t>
            </w:r>
          </w:p>
        </w:tc>
        <w:tc>
          <w:tcPr>
            <w:tcW w:w="113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241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平均持有时间</w:t>
            </w:r>
          </w:p>
        </w:tc>
        <w:tc>
          <w:tcPr>
            <w:tcW w:w="113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241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平均收益率</w:t>
            </w:r>
          </w:p>
        </w:tc>
        <w:tc>
          <w:tcPr>
            <w:tcW w:w="113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241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textAlignment w:val="auto"/>
              <w:rPr>
                <w:rFonts w:ascii="仿宋" w:hAnsi="仿宋" w:eastAsia="仿宋" w:cs="仿宋"/>
                <w:sz w:val="32"/>
                <w:szCs w:val="32"/>
              </w:rPr>
            </w:pPr>
            <w:r>
              <w:rPr>
                <w:rFonts w:hint="eastAsia" w:ascii="仿宋" w:hAnsi="仿宋" w:eastAsia="仿宋" w:cs="仿宋"/>
                <w:sz w:val="32"/>
                <w:szCs w:val="32"/>
              </w:rPr>
              <w:t>平均IRR</w:t>
            </w:r>
          </w:p>
        </w:tc>
        <w:tc>
          <w:tcPr>
            <w:tcW w:w="113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241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c>
          <w:tcPr>
            <w:tcW w:w="141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00"/>
              <w:textAlignment w:val="auto"/>
              <w:rPr>
                <w:rFonts w:ascii="仿宋" w:hAnsi="仿宋" w:eastAsia="仿宋" w:cs="仿宋"/>
                <w:sz w:val="32"/>
                <w:szCs w:val="32"/>
              </w:rPr>
            </w:pPr>
          </w:p>
        </w:tc>
      </w:tr>
    </w:tbl>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textAlignment w:val="auto"/>
        <w:rPr>
          <w:rFonts w:ascii="仿宋" w:hAnsi="仿宋" w:eastAsia="仿宋" w:cs="仿宋"/>
          <w:sz w:val="32"/>
          <w:szCs w:val="32"/>
        </w:rPr>
      </w:pPr>
      <w:r>
        <w:rPr>
          <w:rFonts w:hint="eastAsia" w:ascii="仿宋" w:hAnsi="仿宋" w:eastAsia="仿宋" w:cs="仿宋"/>
          <w:sz w:val="32"/>
          <w:szCs w:val="32"/>
        </w:rPr>
        <w:t>（五） 管理偏好</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1.</w:t>
      </w:r>
      <w:r>
        <w:rPr>
          <w:rFonts w:hint="eastAsia" w:ascii="仿宋" w:hAnsi="仿宋" w:eastAsia="仿宋" w:cs="仿宋"/>
          <w:sz w:val="32"/>
          <w:szCs w:val="32"/>
        </w:rPr>
        <w:t>向被投资企业派遣管理人员的情况及案例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outlineLvl w:val="0"/>
        <w:rPr>
          <w:rFonts w:ascii="仿宋" w:hAnsi="仿宋" w:eastAsia="仿宋" w:cs="仿宋"/>
          <w:sz w:val="32"/>
          <w:szCs w:val="32"/>
        </w:rPr>
      </w:pPr>
      <w:r>
        <w:rPr>
          <w:rFonts w:hint="eastAsia" w:ascii="仿宋" w:hAnsi="仿宋" w:eastAsia="仿宋" w:cs="仿宋"/>
          <w:b/>
          <w:sz w:val="32"/>
          <w:szCs w:val="32"/>
        </w:rPr>
        <w:t>2.</w:t>
      </w:r>
      <w:r>
        <w:rPr>
          <w:rFonts w:hint="eastAsia" w:ascii="仿宋" w:hAnsi="仿宋" w:eastAsia="仿宋" w:cs="仿宋"/>
          <w:sz w:val="32"/>
          <w:szCs w:val="32"/>
        </w:rPr>
        <w:t>向被投资企业派遣董事的情况及案例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pPr>
      <w:r>
        <w:rPr>
          <w:rFonts w:hint="eastAsia" w:ascii="仿宋" w:hAnsi="仿宋" w:eastAsia="仿宋" w:cs="仿宋"/>
          <w:b/>
          <w:sz w:val="32"/>
          <w:szCs w:val="32"/>
        </w:rPr>
        <w:t>3.</w:t>
      </w:r>
      <w:r>
        <w:rPr>
          <w:rFonts w:hint="eastAsia" w:ascii="仿宋" w:hAnsi="仿宋" w:eastAsia="仿宋" w:cs="仿宋"/>
          <w:sz w:val="32"/>
          <w:szCs w:val="32"/>
        </w:rPr>
        <w:t>首次投资完成时保留重大事项否决权的情况及案例</w:t>
      </w:r>
    </w:p>
    <w:p>
      <w:pPr>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3" w:firstLineChars="200"/>
        <w:textAlignment w:val="auto"/>
        <w:rPr>
          <w:rFonts w:ascii="仿宋" w:hAnsi="仿宋" w:eastAsia="仿宋" w:cs="仿宋"/>
          <w:sz w:val="32"/>
          <w:szCs w:val="32"/>
        </w:rPr>
        <w:sectPr>
          <w:pgSz w:w="11906" w:h="16838"/>
          <w:pgMar w:top="1701" w:right="1587" w:bottom="1701" w:left="1587" w:header="851" w:footer="992" w:gutter="0"/>
          <w:pgNumType w:fmt="numberInDash"/>
          <w:cols w:space="720" w:num="1"/>
          <w:rtlGutter w:val="0"/>
          <w:docGrid w:type="lines" w:linePitch="312" w:charSpace="0"/>
        </w:sectPr>
      </w:pPr>
      <w:r>
        <w:rPr>
          <w:rFonts w:hint="eastAsia" w:ascii="仿宋" w:hAnsi="仿宋" w:eastAsia="仿宋" w:cs="仿宋"/>
          <w:b/>
          <w:sz w:val="32"/>
          <w:szCs w:val="32"/>
        </w:rPr>
        <w:t>4.</w:t>
      </w:r>
      <w:r>
        <w:rPr>
          <w:rFonts w:hint="eastAsia" w:ascii="仿宋" w:hAnsi="仿宋" w:eastAsia="仿宋" w:cs="仿宋"/>
          <w:sz w:val="32"/>
          <w:szCs w:val="32"/>
        </w:rPr>
        <w:t>投资后与被投资企业跟踪交流的频率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308E3"/>
    <w:rsid w:val="43430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sz w:val="22"/>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2017-12-19T08:05:00Z</dcterms:created>
  <dc:creator>Administrator</dc:creator>
  <cp:lastModifiedBy>Administrator</cp:lastModifiedBy>
  <dcterms:modified xsi:type="dcterms:W3CDTF">2017-12-19T08:06:57Z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