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9B65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</w:t>
      </w:r>
    </w:p>
    <w:p w14:paraId="012F89F3"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防火墙、杀毒软件、日志审计采购需求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及服务要</w:t>
      </w: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求</w:t>
      </w:r>
      <w:bookmarkEnd w:id="0"/>
    </w:p>
    <w:p w14:paraId="14A150C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9CC8ED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一、项目总体要求</w:t>
      </w:r>
    </w:p>
    <w:p w14:paraId="1C24A4C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本项目为采购单位网络安全边界及内网安全防护升级项目，需采购下一代防火墙、终端杀毒安全软件、全网日志审计系统，搭建一体化网络安全防护体系，满足网络安全等级保护2.0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级建设要求，实现边界访问控制、终端病毒查杀、全网日志留存、安全事件溯源、异常流量告警等功能，所有产品需为国内主流一线品牌原厂全新硬件及正版软件，禁止二手、翻新设备。</w:t>
      </w:r>
    </w:p>
    <w:p w14:paraId="071CEF8F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具体货物参数及数量</w:t>
      </w:r>
    </w:p>
    <w:p w14:paraId="2FCDEBEF">
      <w:pPr>
        <w:numPr>
          <w:ilvl w:val="0"/>
          <w:numId w:val="0"/>
        </w:numPr>
        <w:ind w:firstLine="321" w:firstLineChars="1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）防火墙招标参数</w:t>
      </w:r>
    </w:p>
    <w:p w14:paraId="51956F2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硬件规格要求</w:t>
      </w:r>
    </w:p>
    <w:p w14:paraId="3E8FD31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）性能指标</w:t>
      </w:r>
    </w:p>
    <w:p w14:paraId="78F3B81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吞吐量：≥1Gbps（网络层），≥500Mbps（开启防AV和IPS基础上）；并发连接数：≥100万；新建连接速率：≥10000 CPS；带宽能力：支持800Mbps峰值带宽。</w:t>
      </w:r>
    </w:p>
    <w:p w14:paraId="01790A7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）接口配置</w:t>
      </w:r>
    </w:p>
    <w:p w14:paraId="1C2C062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电口数量：≥6个千兆电口；光口数量：≥2个千兆光口；接口总数量：≥8个（电口+光口）；支持接口扩展；支持多运营商链路负载均衡。</w:t>
      </w:r>
    </w:p>
    <w:p w14:paraId="57F8582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硬件配置</w:t>
      </w:r>
    </w:p>
    <w:p w14:paraId="56C7926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处理器：主频≥2GHz；内存：≥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GB。</w:t>
      </w:r>
    </w:p>
    <w:p w14:paraId="5A0CE71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功能要求</w:t>
      </w:r>
    </w:p>
    <w:p w14:paraId="36AD364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）基础防火墙功能</w:t>
      </w:r>
    </w:p>
    <w:p w14:paraId="21448BD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支持状态检测包过滤；支持NAT/NAPT地址转换；支持VPN功能（IPSec、L2TP、PPTP、SSLVPN）；支持链路负载均衡；支持QoS流量控制；支持IPv6。</w:t>
      </w:r>
    </w:p>
    <w:p w14:paraId="1CB658A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）高级安全功能</w:t>
      </w:r>
    </w:p>
    <w:p w14:paraId="3B1CE22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防病毒（AV）：支持病毒特征库实时更新，支持HTTP、FTP、SMTP、POP3等协议的病毒查杀</w:t>
      </w:r>
    </w:p>
    <w:p w14:paraId="1C0B00E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入侵防御（IPS）：支持IPS特征库实时更新，支持常见攻击防护（如SQL注入、XSS、DDoS等）</w:t>
      </w:r>
    </w:p>
    <w:p w14:paraId="16EA5DA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WAF防护：支持Web应用防护，支持SQL注入、XSS、CSRF等攻击防护</w:t>
      </w:r>
    </w:p>
    <w:p w14:paraId="6C21FF1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SSLVPN：支持SSLVPN,提供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个SSLVPN授权</w:t>
      </w:r>
    </w:p>
    <w:p w14:paraId="49FE05C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）管理功能</w:t>
      </w:r>
    </w:p>
    <w:p w14:paraId="32489E0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支持Web、CLI、SNMP等多种管理方式；支持日志审计和报表生成；支持集中管理和多设备联动；支持HA高可用性部署。</w:t>
      </w:r>
    </w:p>
    <w:p w14:paraId="054B10D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合规要求</w:t>
      </w:r>
    </w:p>
    <w:p w14:paraId="7CD370E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符合等保二级安全要求；具备国家信息安全产品认证证书（CCC、等保认证）；具备相关安全专利或技术认证。</w:t>
      </w:r>
    </w:p>
    <w:p w14:paraId="2C30A97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服务要求</w:t>
      </w:r>
    </w:p>
    <w:p w14:paraId="568E31E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提供3年免费原厂技术支持和版本升级服务；提供7×24小时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服务；提供现场安装调试和培训服务；提供终身硬件维修服务。</w:t>
      </w:r>
    </w:p>
    <w:p w14:paraId="0E2BF1EC">
      <w:p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杀毒软件技术招标参数</w:t>
      </w:r>
    </w:p>
    <w:p w14:paraId="32ACECAE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多系统兼容：</w:t>
      </w:r>
    </w:p>
    <w:p w14:paraId="3CC6972C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Windows平台：Windows 7/10/11全版本，Windows Server 2008/2012/2016/2019/2022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36B0FE3D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Linux平台：CentOS 6/7，RedHat、Ubuntu、SUSE等主流发行版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3C455EE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信创系统：全面支持麒麟、统信UOS、欧拉、龙蜥等国产操作系统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16E1D693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迁移支持：合同期内免费提供现有系统到信创系统的平滑迁移服务，包含兼容性测试、数据迁移、策略同步</w:t>
      </w:r>
    </w:p>
    <w:p w14:paraId="1621261D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核心安全功能要求</w:t>
      </w:r>
    </w:p>
    <w:p w14:paraId="0BD0E16B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病毒防护能力：支持多引擎查杀技术（本地引擎+云引擎+AI引擎）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;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病毒库每日自动更新，提供应急病毒响应机制（24小时内处置新型威胁）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支持勒索病毒专项防护，包含行为拦截、文件恢复功能。</w:t>
      </w:r>
    </w:p>
    <w:p w14:paraId="12979D53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端点防护与响应（EDR）：支持实时监控终端行为，检测并阻断异常进程；提供漏洞扫描与补丁管理功能，支持批量修复；具备主机入侵防护（HIPS）能力，可自定义防护规则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，并提供威胁情报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。</w:t>
      </w:r>
    </w:p>
    <w:p w14:paraId="532AD107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安全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及软件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管控功能：客户端防卸载保护，需管理员权限才能卸载；支持设备控制（USB/外设管控）、应用程序控制、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软件控制、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网页过滤；提供详细的安全日志审计，支持报表导出与可视化分析。</w:t>
      </w:r>
    </w:p>
    <w:p w14:paraId="7DC2CE62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集中管理与运维要求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3BF8AFD7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）统一管控平台：</w:t>
      </w:r>
    </w:p>
    <w:p w14:paraId="1C34C6CE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支持Web可视化管理，界面简洁易操作；批量查杀、批量策略配置功能；支持终端分组管理，可自定义不同组的防护策略。</w:t>
      </w:r>
    </w:p>
    <w:p w14:paraId="31D589EE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）监控与报表：</w:t>
      </w:r>
    </w:p>
    <w:p w14:paraId="59DA1C40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实时监控全网终端安全状态，异常事件告警；生成病毒查杀统计、漏洞修复情况、硬件资产等报表；支持微信/短信告警通知，可自定义告警规则。</w:t>
      </w:r>
    </w:p>
    <w:p w14:paraId="77E22B9B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）运维支持：</w:t>
      </w:r>
    </w:p>
    <w:p w14:paraId="17C697E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提供7×24小时技术支持，包含远程协助与现场服务；合同期内免费提供软件版本升级与病毒库更新；提供管理员操作培训，确保运维人员熟练使用。</w:t>
      </w:r>
    </w:p>
    <w:p w14:paraId="3A71B850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日志审计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招标参数</w:t>
      </w:r>
    </w:p>
    <w:p w14:paraId="59A021F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日志采集层</w:t>
      </w:r>
    </w:p>
    <w:p w14:paraId="051E5DE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全量设备覆盖：支持采集网络设备（路由器/交换机/防火墙）、安全设备（IDS/IPS/WAF）、服务器（Linux/Windows）、应用系统、数据库的日志；</w:t>
      </w:r>
    </w:p>
    <w:p w14:paraId="5C180CD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多协议支持：支持Syslog、SNMP Trap文件采集等多种日志接入方式；</w:t>
      </w:r>
    </w:p>
    <w:p w14:paraId="2BCD028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采集完整性：日志采集不丢数据，支持断点续传和缓存队列机制；</w:t>
      </w:r>
    </w:p>
    <w:p w14:paraId="0073A3D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日志标准化与时间同步</w:t>
      </w:r>
    </w:p>
    <w:p w14:paraId="26D7DA5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日志范式化：将异构日志统一解析为标准化字段（时间、源IP、目的IP、操作类型、操作对象、结果等）；</w:t>
      </w:r>
    </w:p>
    <w:p w14:paraId="24547F1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统一时钟源：系统内置NTP服务或支持对接外部NTP，确保所有被管设备与审计系统时钟偏差＜1秒；</w:t>
      </w:r>
    </w:p>
    <w:p w14:paraId="6B51737C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时区处理：支持多时区日志的统一转换和显示。</w:t>
      </w:r>
    </w:p>
    <w:p w14:paraId="7B4E0E0C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日志存储与保护</w:t>
      </w:r>
    </w:p>
    <w:p w14:paraId="3B67F0A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防篡改存储：审计记录存储后不可修改，支持日志数字签名或WORM（一次写入多次读取）存储机制；</w:t>
      </w:r>
    </w:p>
    <w:p w14:paraId="44546ED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防覆盖机制：存储空间满时不允许自动覆盖旧日志，需触发告警并支持在线扩容或自动归档；</w:t>
      </w:r>
    </w:p>
    <w:p w14:paraId="0D46BF6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访问控制：审计记录仅限授权管理员查看，支持基于角色的细粒度权限控制；</w:t>
      </w:r>
    </w:p>
    <w:p w14:paraId="69B1077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日志留存：支持在线存储≥6个月，归档存储≥1年（建议支持3年），支持自动归档策略；</w:t>
      </w:r>
    </w:p>
    <w:p w14:paraId="4620B48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备份恢复：支持审计日志的定期备份、异地备份及按时间范围恢复查询。</w:t>
      </w:r>
    </w:p>
    <w:p w14:paraId="44088F3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审计进程保护</w:t>
      </w:r>
    </w:p>
    <w:p w14:paraId="0F64704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进程守护：审计Agent/采集器进程被异常终止时，系统需自动尝试恢复并产生告警；</w:t>
      </w:r>
    </w:p>
    <w:p w14:paraId="3A4517D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防卸载/防停用：审计Agent的卸载或停用需要独立授权验证，非授权操作被阻止；</w:t>
      </w:r>
    </w:p>
    <w:p w14:paraId="6D8A75D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心跳监测：集中管理平台实时监测各Agent心跳，离线超过阈值立即告警。</w:t>
      </w:r>
    </w:p>
    <w:p w14:paraId="691319D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日志分析与告警</w:t>
      </w:r>
    </w:p>
    <w:p w14:paraId="657C97F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实时分析引擎：支持对采集日志进行实时关联分析，非事后批量处理；</w:t>
      </w:r>
    </w:p>
    <w:p w14:paraId="4048FAD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内置规则库：预置常见安全场景的关联规则（暴力破解、异常登录、权限提升、数据泄露、Web攻击等）；</w:t>
      </w:r>
    </w:p>
    <w:p w14:paraId="7A7D1F2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自定义规则：支持用户自定义关联分析规则，支持可视化规则编排。</w:t>
      </w:r>
    </w:p>
    <w:p w14:paraId="22D315F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审计查询与追溯</w:t>
      </w:r>
    </w:p>
    <w:p w14:paraId="288A25F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全文检索：支持对审计日志的全文搜索，响应时间秒级；</w:t>
      </w:r>
    </w:p>
    <w:p w14:paraId="768D56F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多维度筛选：支持按时间、IP、用户、操作类型、事件结果等组合条件精确查询；</w:t>
      </w:r>
    </w:p>
    <w:p w14:paraId="2C4F6AA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事件链还原：支持将多个相关日志串联成完整攻击链或操作轨迹，图形化展示；</w:t>
      </w:r>
    </w:p>
    <w:p w14:paraId="405D103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会话回放：对运维操作支持命令级回放（如SSH/RDP操作录像回放）。</w:t>
      </w:r>
    </w:p>
    <w:p w14:paraId="52124D5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报表与合规</w:t>
      </w:r>
    </w:p>
    <w:p w14:paraId="0DD4D80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内置合规报表：预置等保二级审计报表模板，支持自动生成周期报表；</w:t>
      </w:r>
    </w:p>
    <w:p w14:paraId="17BAD7E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自定义报表：支持用户自定义报表模板，按需生成审计统计报表；</w:t>
      </w:r>
    </w:p>
    <w:p w14:paraId="622A59A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报表导出：支持PDF、Excel、HTML等格式导出；</w:t>
      </w:r>
    </w:p>
    <w:p w14:paraId="2BC67AF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自身安全</w:t>
      </w:r>
    </w:p>
    <w:p w14:paraId="2BE3D11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操作审计：对审计系统本身的管理操作也需记录审计日志（审计员的审计）；</w:t>
      </w:r>
    </w:p>
    <w:p w14:paraId="3C846E2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最小权限：支持三权分立（系统管理员、审计管理员、安全管理员角色分离）；</w:t>
      </w:r>
    </w:p>
    <w:p w14:paraId="72C5B48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服务要求清单</w:t>
      </w:r>
    </w:p>
    <w:p w14:paraId="44903E9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1.产品部署与初始化服务</w:t>
      </w:r>
    </w:p>
    <w:p w14:paraId="4EED527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提供所有安全产品的上门/远程部署安装、系统初始化、网络适配、授权激活服务，完成产品与客户现有 IT 环境的对接调试，确保产品上线即可正常运行。</w:t>
      </w:r>
    </w:p>
    <w:p w14:paraId="00BF2A2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策略检查</w:t>
      </w:r>
    </w:p>
    <w:p w14:paraId="46F93A8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上线前安全专家对安全组件上的安全策略进行统一检查，确保安全组件上的安全策略始终处于最优水平，针对威胁能起到最好的防护效果。</w:t>
      </w:r>
    </w:p>
    <w:p w14:paraId="6F6DCA8F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3.脆弱性评估</w:t>
      </w:r>
    </w:p>
    <w:p w14:paraId="1B09DD7C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系统与Web漏洞扫描：对操作系统、数据库、常见应用/协议、Web通用漏洞与常规漏洞进行漏洞扫描。弱口令扫描：实现信息化资产不同应用弱口令猜解检测，如：SMB、Mssql、Mysql、Oracle、smtp、VNC、ftp、telnet、ssh、tomcat等。</w:t>
      </w:r>
    </w:p>
    <w:p w14:paraId="1769EFF0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暴露面梳理</w:t>
      </w:r>
    </w:p>
    <w:p w14:paraId="379F459F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安全专家使用扫描组件对资产开展暴露面探测，以梳理资产面向互联网的开放情况，快速发现违规暴露在互联网中的资产及存在的风险并进行处置，实现对暴露面资产可管可控，降低暴露面资产的风险。</w:t>
      </w:r>
    </w:p>
    <w:p w14:paraId="0C151D3D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安全策略调优</w:t>
      </w:r>
    </w:p>
    <w:p w14:paraId="6C4FC05B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策略调优：安全专家根据安全威胁/事件分析的结果以及处置方式，对安全组件上的安全策略进行调整工作。</w:t>
      </w:r>
    </w:p>
    <w:p w14:paraId="76715391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6.脆弱性问题修复指导</w:t>
      </w:r>
    </w:p>
    <w:p w14:paraId="48152D02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针对内网脆弱性，安全专家分析研判后提供实际佐证材料，并给出修复建议。</w:t>
      </w:r>
    </w:p>
    <w:p w14:paraId="65715C38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专属服务经理</w:t>
      </w:r>
    </w:p>
    <w:p w14:paraId="17AFEEE6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为用户配置一名经验丰富的安全专家作为专属服务经理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195D1824">
      <w:pPr>
        <w:numPr>
          <w:ilvl w:val="0"/>
          <w:numId w:val="0"/>
        </w:numPr>
        <w:ind w:firstLine="600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8.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实时专家咨询</w:t>
      </w:r>
    </w:p>
    <w:p w14:paraId="71098281">
      <w:pPr>
        <w:numPr>
          <w:ilvl w:val="0"/>
          <w:numId w:val="0"/>
        </w:numPr>
        <w:ind w:firstLine="60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安全专家对用户咨询或上报的安全问题进行及时响应并给出建议，如主机加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固建议咨询、安全事件处置建议咨询等。</w:t>
      </w:r>
    </w:p>
    <w:p w14:paraId="1B6444F8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安全运营周报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及月报</w:t>
      </w:r>
    </w:p>
    <w:p w14:paraId="6466CCA7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安全专家每周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及每月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对服务资产进行安全运营情况的分析总结并输出《安全运营周报》。</w:t>
      </w:r>
    </w:p>
    <w:p w14:paraId="73177E0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.7×24 小时技术支持服务</w:t>
      </w:r>
    </w:p>
    <w:p w14:paraId="34BF5A7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提供全年无休的远程技术支持，响应客户的产品使用咨询、功能配置指导、故障排查需求，工作日 4 小时内响应，非工作日 8 小时内响应，重大故障提供紧急绿色通道。</w:t>
      </w:r>
    </w:p>
    <w:p w14:paraId="61C42D4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.产品版本与规则升级服务</w:t>
      </w:r>
    </w:p>
    <w:p w14:paraId="5DB7DD1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服务期内实时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提供产品系统固件、软件版本、安全特征库、病毒库、威胁情报的免费升级服务，确保产品安全防护能力持续适配最新的网络安全威胁，升级前提前告知客户并做好回滚预案。</w:t>
      </w:r>
    </w:p>
    <w:p w14:paraId="5A17F11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.定期巡检与健康检测服务</w:t>
      </w:r>
    </w:p>
    <w:p w14:paraId="11ED21E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每季度提供一次远程产品全面巡检服务，包括设备运行状态、系统资源占用、防护策略有效性、日志存储状态、硬件健康度检测，出具完整的巡检报告与优化建议。</w:t>
      </w:r>
    </w:p>
    <w:p w14:paraId="43620D4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.产品授权与许可维护服务</w:t>
      </w:r>
    </w:p>
    <w:p w14:paraId="12DCE27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负责产品服务期内的授权许可维护、到期提前提醒、续期对接服务，确保产品功能与防护能力不中断；服务期内免费提供产品授权的迁移、调整适配服务。</w:t>
      </w:r>
    </w:p>
    <w:p w14:paraId="76DA4AE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.使用培训与知识传递服务</w:t>
      </w:r>
    </w:p>
    <w:p w14:paraId="08EDD09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为客户提供产品使用培训，包括产品功能操作、日常运维、基础故障排查、安全策略配置等内容，培训形式可选择上门或远程，确保客户运维人员可独立完成日常管理操作。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CE8A9"/>
    <w:multiLevelType w:val="singleLevel"/>
    <w:tmpl w:val="617CE8A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F0E29"/>
    <w:rsid w:val="709F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2026-07-10T01:19:00Z</dcterms:created>
  <dc:creator>婧子</dc:creator>
  <cp:lastModifiedBy>婧子</cp:lastModifiedBy>
  <dcterms:modified xsi:type="dcterms:W3CDTF">2026-07-10T01:20:26Z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47F7BDA7729B44368CB9C0103EDD9228_11</vt:lpwstr>
  </property>
  <property fmtid="{D5CDD505-2E9C-101B-9397-08002B2CF9AE}" pid="4" name="KSOTemplateDocerSaveRecord">
    <vt:lpwstr>eyJoZGlkIjoiZDc4Njk3NDUwNTcyMDYwNzExZDVlOGYxNDQ4Y2RiYTkiLCJ1c2VySWQiOiIxMjM0MTg1NTk3In0=</vt:lpwstr>
  </property>
</Properties>
</file>